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widowControl w:val="0"/>
        <w:pBdr>
          <w:top w:color="ff0000" w:space="1" w:sz="4" w:val="dotted"/>
          <w:left w:color="ff0000" w:space="4" w:sz="4" w:val="dotted"/>
          <w:bottom w:color="ff0000" w:space="1" w:sz="4" w:val="dotted"/>
          <w:right w:color="ff0000" w:space="4" w:sz="4" w:val="dotted"/>
        </w:pBdr>
        <w:spacing w:after="0" w:line="240" w:lineRule="auto"/>
        <w:ind w:left="0" w:firstLine="0"/>
        <w:rPr/>
      </w:pPr>
      <w:r w:rsidDel="00000000" w:rsidR="00000000" w:rsidRPr="00000000">
        <w:rPr>
          <w:rtl w:val="0"/>
        </w:rPr>
        <w:t xml:space="preserve">At Winco, we are committed to creating custom aluminum windows for commercial applications in both new and historic buildings — and everything in between. Working with customers, we develop custom window solutions, and with most of our products engineered and tested in house, we ensure premium performance every time. See why Winco has been a trusted leader in windows for more than 100 years.</w:t>
      </w:r>
    </w:p>
    <w:p w:rsidR="00000000" w:rsidDel="00000000" w:rsidP="00000000" w:rsidRDefault="00000000" w:rsidRPr="00000000" w14:paraId="00000012">
      <w:pPr>
        <w:widowControl w:val="0"/>
        <w:pBdr>
          <w:top w:color="ff0000" w:space="1" w:sz="4" w:val="dotted"/>
          <w:left w:color="ff0000" w:space="4" w:sz="4" w:val="dotted"/>
          <w:bottom w:color="ff0000" w:space="1" w:sz="4" w:val="dotted"/>
          <w:right w:color="ff0000" w:space="4" w:sz="4" w:val="dotted"/>
        </w:pBdr>
        <w:spacing w:after="0" w:line="240" w:lineRule="auto"/>
        <w:ind w:left="0" w:firstLine="0"/>
        <w:rPr/>
      </w:pPr>
      <w:r w:rsidDel="00000000" w:rsidR="00000000" w:rsidRPr="00000000">
        <w:rPr>
          <w:rtl w:val="0"/>
        </w:rPr>
      </w:r>
    </w:p>
    <w:p w:rsidR="00000000" w:rsidDel="00000000" w:rsidP="00000000" w:rsidRDefault="00000000" w:rsidRPr="00000000" w14:paraId="00000013">
      <w:pPr>
        <w:widowControl w:val="0"/>
        <w:pBdr>
          <w:top w:color="ff0000" w:space="1" w:sz="4" w:val="dotted"/>
          <w:left w:color="ff0000" w:space="4" w:sz="4" w:val="dotted"/>
          <w:bottom w:color="ff0000" w:space="1" w:sz="4" w:val="dotted"/>
          <w:right w:color="ff0000" w:space="4" w:sz="4" w:val="dotted"/>
        </w:pBdr>
        <w:spacing w:after="0" w:line="240" w:lineRule="auto"/>
        <w:ind w:left="0" w:firstLine="0"/>
        <w:rPr/>
      </w:pPr>
      <w:r w:rsidDel="00000000" w:rsidR="00000000" w:rsidRPr="00000000">
        <w:rPr>
          <w:rtl w:val="0"/>
        </w:rPr>
        <w:t xml:space="preserve">In addition to meeting the HC (Heavy Commercial) standard, most Winco windows are also AW (Architectural Window) rated (the most stringent rating given by AAMA).</w:t>
      </w:r>
    </w:p>
    <w:p w:rsidR="00000000" w:rsidDel="00000000" w:rsidP="00000000" w:rsidRDefault="00000000" w:rsidRPr="00000000" w14:paraId="00000014">
      <w:pPr>
        <w:widowControl w:val="0"/>
        <w:pBdr>
          <w:top w:color="ff0000" w:space="1" w:sz="4" w:val="dotted"/>
          <w:left w:color="ff0000" w:space="4" w:sz="4" w:val="dotted"/>
          <w:bottom w:color="ff0000" w:space="1" w:sz="4" w:val="dotted"/>
          <w:right w:color="ff0000" w:space="4" w:sz="4" w:val="dotted"/>
        </w:pBdr>
        <w:spacing w:after="0" w:line="240" w:lineRule="auto"/>
        <w:ind w:left="0" w:firstLine="0"/>
        <w:rPr/>
      </w:pPr>
      <w:r w:rsidDel="00000000" w:rsidR="00000000" w:rsidRPr="00000000">
        <w:rPr>
          <w:rtl w:val="0"/>
        </w:rPr>
      </w:r>
    </w:p>
    <w:p w:rsidR="00000000" w:rsidDel="00000000" w:rsidP="00000000" w:rsidRDefault="00000000" w:rsidRPr="00000000" w14:paraId="00000015">
      <w:pPr>
        <w:widowControl w:val="0"/>
        <w:pBdr>
          <w:top w:color="ff0000" w:space="1" w:sz="4" w:val="dotted"/>
          <w:left w:color="ff0000" w:space="4" w:sz="4" w:val="dotted"/>
          <w:bottom w:color="ff0000" w:space="1" w:sz="4" w:val="dotted"/>
          <w:right w:color="ff0000" w:space="4" w:sz="4" w:val="dotted"/>
        </w:pBdr>
        <w:spacing w:after="0" w:line="240" w:lineRule="auto"/>
        <w:ind w:left="0" w:firstLine="0"/>
        <w:rPr/>
      </w:pPr>
      <w:r w:rsidDel="00000000" w:rsidR="00000000" w:rsidRPr="00000000">
        <w:rPr>
          <w:rtl w:val="0"/>
        </w:rPr>
        <w:t xml:space="preserve">When you are looking for a window company that really understands your needs, that can deliver windows on your time schedule, to meet your budget, and that isn’t afraid to take a custom approach...then there really is only one choice...Winco, clearly.</w:t>
      </w:r>
    </w:p>
    <w:p w:rsidR="00000000" w:rsidDel="00000000" w:rsidP="00000000" w:rsidRDefault="00000000" w:rsidRPr="00000000" w14:paraId="00000016">
      <w:pPr>
        <w:widowControl w:val="0"/>
        <w:pBdr>
          <w:top w:color="ff0000" w:space="1" w:sz="4" w:val="dotted"/>
          <w:left w:color="ff0000" w:space="4" w:sz="4" w:val="dotted"/>
          <w:bottom w:color="ff0000" w:space="1" w:sz="4" w:val="dotted"/>
          <w:right w:color="ff0000" w:space="4" w:sz="4" w:val="dotted"/>
        </w:pBdr>
        <w:spacing w:after="0" w:line="240" w:lineRule="auto"/>
        <w:ind w:left="180" w:hanging="180"/>
        <w:rPr/>
      </w:pPr>
      <w:r w:rsidDel="00000000" w:rsidR="00000000" w:rsidRPr="00000000">
        <w:rPr>
          <w:rtl w:val="0"/>
        </w:rPr>
      </w:r>
    </w:p>
    <w:p w:rsidR="00000000" w:rsidDel="00000000" w:rsidP="00000000" w:rsidRDefault="00000000" w:rsidRPr="00000000" w14:paraId="00000017">
      <w:pPr>
        <w:widowControl w:val="0"/>
        <w:pBdr>
          <w:top w:color="ff0000" w:space="1" w:sz="4" w:val="dotted"/>
          <w:left w:color="ff0000" w:space="4" w:sz="4" w:val="dotted"/>
          <w:bottom w:color="ff0000" w:space="1" w:sz="4" w:val="dotted"/>
          <w:right w:color="ff0000" w:space="4" w:sz="4" w:val="dotted"/>
        </w:pBdr>
        <w:spacing w:after="0" w:line="240" w:lineRule="auto"/>
        <w:ind w:left="180" w:hanging="180"/>
        <w:rPr/>
      </w:pPr>
      <w:r w:rsidDel="00000000" w:rsidR="00000000" w:rsidRPr="00000000">
        <w:rPr>
          <w:rtl w:val="0"/>
        </w:rPr>
        <w:t xml:space="preserve">Please contact your local sales representative for project specific requirements.</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1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1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A">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B">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C">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D">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2E">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2F">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0">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1">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2">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3">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7">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8">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9">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A">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B">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C">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D">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3E">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Cyclical Loading Test Procedures.</w:t>
      </w:r>
    </w:p>
    <w:p w:rsidR="00000000" w:rsidDel="00000000" w:rsidP="00000000" w:rsidRDefault="00000000" w:rsidRPr="00000000" w14:paraId="0000003F">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0">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Impact Test Procedures.</w:t>
      </w:r>
    </w:p>
    <w:p w:rsidR="00000000" w:rsidDel="00000000" w:rsidP="00000000" w:rsidRDefault="00000000" w:rsidRPr="00000000" w14:paraId="00000041">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Criteria for Testing Impact and Non-Impact Resistant Building Envelope Components Using Uniform Static Air Pressure Loading.</w:t>
      </w:r>
    </w:p>
    <w:p w:rsidR="00000000" w:rsidDel="00000000" w:rsidP="00000000" w:rsidRDefault="00000000" w:rsidRPr="00000000" w14:paraId="00000042">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Criteria for Testing Products Subject to Cyclic Wind Pressure Loading.</w:t>
      </w:r>
    </w:p>
    <w:p w:rsidR="00000000" w:rsidDel="00000000" w:rsidP="00000000" w:rsidRDefault="00000000" w:rsidRPr="00000000" w14:paraId="00000043">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6">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7">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8">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9">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A">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B">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C">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D">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4E">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4F">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0">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1">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2">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3">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4">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5">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6">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7">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8">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9">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A">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B">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C">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D">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5E">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5F">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0">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1">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2">
      <w:pPr>
        <w:keepNext w:val="0"/>
        <w:keepLines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4">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5">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Test Procedures and Performance:</w:t>
      </w:r>
    </w:p>
    <w:p w:rsidR="00000000" w:rsidDel="00000000" w:rsidP="00000000" w:rsidRDefault="00000000" w:rsidRPr="00000000" w14:paraId="00000068">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9">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A">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B">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C">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D">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6E">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6F">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0">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 100% design pressure.</w:t>
      </w:r>
    </w:p>
    <w:p w:rsidR="00000000" w:rsidDel="00000000" w:rsidP="00000000" w:rsidRDefault="00000000" w:rsidRPr="00000000" w14:paraId="00000071">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2">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3">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4">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5">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6">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7">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8">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9">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B">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C">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7D">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7E">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7F">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0">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1">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2">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3">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4">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5">
      <w:pPr>
        <w:keepNext w:val="0"/>
        <w:keepLines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7">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9">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A">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B">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C">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8D">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8E">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8F">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0">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1">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3">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6">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B">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9D">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9E">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9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1">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2">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1150 SERIES</w:t>
      </w:r>
    </w:p>
    <w:p w:rsidR="00000000" w:rsidDel="00000000" w:rsidP="00000000" w:rsidRDefault="00000000" w:rsidRPr="00000000" w14:paraId="000000A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5">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 Series:  2 inch Heavy Commercial Thermally Improved Window.</w:t>
      </w:r>
    </w:p>
    <w:p w:rsidR="00000000" w:rsidDel="00000000" w:rsidP="00000000" w:rsidRDefault="00000000" w:rsidRPr="00000000" w14:paraId="000000A6">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7">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 Blast Resistant Series:  2 inch Heavy Commercial Thermally Improved Blast Resistant Window.</w:t>
      </w:r>
    </w:p>
    <w:p w:rsidR="00000000" w:rsidDel="00000000" w:rsidP="00000000" w:rsidRDefault="00000000" w:rsidRPr="00000000" w14:paraId="000000A8">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9">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 Impact Resistant Series:  2 inch Heavy Commercial Thermally Improved Impact Resistant Window.</w:t>
      </w:r>
    </w:p>
    <w:p w:rsidR="00000000" w:rsidDel="00000000" w:rsidP="00000000" w:rsidRDefault="00000000" w:rsidRPr="00000000" w14:paraId="000000AA">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B">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AW-80.</w:t>
      </w:r>
    </w:p>
    <w:p w:rsidR="00000000" w:rsidDel="00000000" w:rsidP="00000000" w:rsidRDefault="00000000" w:rsidRPr="00000000" w14:paraId="000000AC">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HC-80.</w:t>
      </w:r>
    </w:p>
    <w:p w:rsidR="00000000" w:rsidDel="00000000" w:rsidP="00000000" w:rsidRDefault="00000000" w:rsidRPr="00000000" w14:paraId="000000AD">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AE">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AF">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0.07 cfm/sf.</w:t>
      </w:r>
    </w:p>
    <w:p w:rsidR="00000000" w:rsidDel="00000000" w:rsidP="00000000" w:rsidRDefault="00000000" w:rsidRPr="00000000" w14:paraId="000000B0">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1">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2">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3">
      <w:pPr>
        <w:keepNext w:val="0"/>
        <w:keepLines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57.</w:t>
      </w:r>
    </w:p>
    <w:p w:rsidR="00000000" w:rsidDel="00000000" w:rsidP="00000000" w:rsidRDefault="00000000" w:rsidRPr="00000000" w14:paraId="000000B4">
      <w:pPr>
        <w:keepNext w:val="0"/>
        <w:keepLines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70.</w:t>
      </w:r>
    </w:p>
    <w:p w:rsidR="00000000" w:rsidDel="00000000" w:rsidP="00000000" w:rsidRDefault="00000000" w:rsidRPr="00000000" w14:paraId="000000B5">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0.42BTU/Hr-F°-Ft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6">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7">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8">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9">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protocols; or ASTM E1886 and ASTM E1996 (Level D or Level E) Protocols</w:t>
      </w:r>
    </w:p>
    <w:p w:rsidR="00000000" w:rsidDel="00000000" w:rsidP="00000000" w:rsidRDefault="00000000" w:rsidRPr="00000000" w14:paraId="000000BA">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B">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BC">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2 inches (51 mm).</w:t>
      </w:r>
    </w:p>
    <w:p w:rsidR="00000000" w:rsidDel="00000000" w:rsidP="00000000" w:rsidRDefault="00000000" w:rsidRPr="00000000" w14:paraId="000000BD">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E">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types not being used.</w:t>
      </w:r>
    </w:p>
    <w:p w:rsidR="00000000" w:rsidDel="00000000" w:rsidP="00000000" w:rsidRDefault="00000000" w:rsidRPr="00000000" w14:paraId="000000BF">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0">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unequal leg frame.</w:t>
      </w:r>
    </w:p>
    <w:p w:rsidR="00000000" w:rsidDel="00000000" w:rsidP="00000000" w:rsidRDefault="00000000" w:rsidRPr="00000000" w14:paraId="000000C1">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long unequal leg frame.</w:t>
      </w:r>
    </w:p>
    <w:p w:rsidR="00000000" w:rsidDel="00000000" w:rsidP="00000000" w:rsidRDefault="00000000" w:rsidRPr="00000000" w14:paraId="000000C2">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and Access Sash:  Thermally broken.</w:t>
      </w:r>
    </w:p>
    <w:p w:rsidR="00000000" w:rsidDel="00000000" w:rsidP="00000000" w:rsidRDefault="00000000" w:rsidRPr="00000000" w14:paraId="000000C3">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C4">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Depth:  2 inches (51 mm).</w:t>
      </w:r>
    </w:p>
    <w:p w:rsidR="00000000" w:rsidDel="00000000" w:rsidP="00000000" w:rsidRDefault="00000000" w:rsidRPr="00000000" w14:paraId="000000C5">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specifying dual glazed access sash windows.  Retain the first paragraph for a monolithic exterior lite.  Retain the second paragraph for an insulated exterior lite.</w:t>
      </w:r>
    </w:p>
    <w:p w:rsidR="00000000" w:rsidDel="00000000" w:rsidP="00000000" w:rsidRDefault="00000000" w:rsidRPr="00000000" w14:paraId="000000C6">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1-29/32 inches (49 mm).</w:t>
      </w:r>
    </w:p>
    <w:p w:rsidR="00000000" w:rsidDel="00000000" w:rsidP="00000000" w:rsidRDefault="00000000" w:rsidRPr="00000000" w14:paraId="000000C7">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1-1/4 inches (32 mm).</w:t>
      </w:r>
    </w:p>
    <w:p w:rsidR="00000000" w:rsidDel="00000000" w:rsidP="00000000" w:rsidRDefault="00000000" w:rsidRPr="00000000" w14:paraId="000000C8">
      <w:pPr>
        <w:widowControl w:val="0"/>
        <w:numPr>
          <w:ilvl w:val="3"/>
          <w:numId w:val="6"/>
        </w:numPr>
        <w:tabs>
          <w:tab w:val="left" w:pos="1890"/>
        </w:tabs>
        <w:spacing w:after="0" w:line="240" w:lineRule="auto"/>
        <w:ind w:left="1440" w:hanging="360"/>
        <w:rPr/>
      </w:pPr>
      <w:r w:rsidDel="00000000" w:rsidR="00000000" w:rsidRPr="00000000">
        <w:rPr>
          <w:rtl w:val="0"/>
        </w:rPr>
        <w:t xml:space="preserve">All vent extrusions shall be tubular on all 4 sides.</w:t>
      </w:r>
    </w:p>
    <w:p w:rsidR="00000000" w:rsidDel="00000000" w:rsidP="00000000" w:rsidRDefault="00000000" w:rsidRPr="00000000" w14:paraId="000000C9">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B">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C">
      <w:pPr>
        <w:keepNext w:val="0"/>
        <w:keepLines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w:t>
      </w:r>
      <w:r w:rsidDel="00000000" w:rsidR="00000000" w:rsidRPr="00000000">
        <w:rPr>
          <w:rtl w:val="0"/>
        </w:rPr>
        <w:t xml:space="preserve">thermoplastic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rubber or equal.</w:t>
      </w:r>
    </w:p>
    <w:p w:rsidR="00000000" w:rsidDel="00000000" w:rsidP="00000000" w:rsidRDefault="00000000" w:rsidRPr="00000000" w14:paraId="000000CD">
      <w:pPr>
        <w:keepNext w:val="0"/>
        <w:keepLines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E">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F">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D0">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D1">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D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D3">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5">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6">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7">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8">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9">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A">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B">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C">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D">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E">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F">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E0">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E1">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E2">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E3">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4">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5">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6">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7">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Retain the first paragraphs below for hinged blind sash window. </w:t>
      </w:r>
    </w:p>
    <w:p w:rsidR="00000000" w:rsidDel="00000000" w:rsidP="00000000" w:rsidRDefault="00000000" w:rsidRPr="00000000" w14:paraId="000000E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E9">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EA">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EB">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EC">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ED">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E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F">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0">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1">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2">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3">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5">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6">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F7">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F8">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F9">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A">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B">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C">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D">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E">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F">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0">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1">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2">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3">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4">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5">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6">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07">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08">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0A">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0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0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0D">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F">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0">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1">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2">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3">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15">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16">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17">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18">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19">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1A">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1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1C">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1D">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1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1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2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2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MULLIONS AND GRIDS</w:t>
      </w:r>
    </w:p>
    <w:p w:rsidR="00000000" w:rsidDel="00000000" w:rsidP="00000000" w:rsidRDefault="00000000" w:rsidRPr="00000000" w14:paraId="00000122">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4">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5">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26">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27">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28">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29">
      <w:pPr>
        <w:keepNext w:val="0"/>
        <w:keepLines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2304" w:right="0" w:hanging="14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2A">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2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2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2D">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2E">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2F">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30">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FINISH</w:t>
      </w:r>
    </w:p>
    <w:p w:rsidR="00000000" w:rsidDel="00000000" w:rsidP="00000000" w:rsidRDefault="00000000" w:rsidRPr="00000000" w14:paraId="00000132">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3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34">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35">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6">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7">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38">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39">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3A">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3B">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3C">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3D">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3E">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F">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0">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4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GLAZING</w:t>
      </w:r>
    </w:p>
    <w:p w:rsidR="00000000" w:rsidDel="00000000" w:rsidP="00000000" w:rsidRDefault="00000000" w:rsidRPr="00000000" w14:paraId="00000142">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43">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44">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45">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46">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47">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48">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49">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4A">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4B">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4C">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4D">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1150 blind window units.  Provide glazing of 1/8 inch (3.2 mm) or 1/4 inch (6.4 mm).</w:t>
      </w:r>
    </w:p>
    <w:p w:rsidR="00000000" w:rsidDel="00000000" w:rsidP="00000000" w:rsidRDefault="00000000" w:rsidRPr="00000000" w14:paraId="0000014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4F">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5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51">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52">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53">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54">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55">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56">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57">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58">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1150 Series Large Missile Impact (LMI) Windows: 1/4 inch heat strengthened outer lite with 0.090 inch Saflex interlayer and 1/4 inch heat strengthened inner lite.</w:t>
      </w:r>
    </w:p>
    <w:p w:rsidR="00000000" w:rsidDel="00000000" w:rsidP="00000000" w:rsidRDefault="00000000" w:rsidRPr="00000000" w14:paraId="00000159">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1150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15A">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5B">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5C">
      <w:pPr>
        <w:keepNext w:val="0"/>
        <w:keepLines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1150 Series 2 inch Heavy Commercial.</w:t>
      </w:r>
    </w:p>
    <w:p w:rsidR="00000000" w:rsidDel="00000000" w:rsidP="00000000" w:rsidRDefault="00000000" w:rsidRPr="00000000" w14:paraId="0000015D">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5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5F">
      <w:pPr>
        <w:keepNext w:val="0"/>
        <w:keepLines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60">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6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63">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64">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6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66">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67">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6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69">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6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6B">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6C">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6D">
      <w:pPr>
        <w:keepNext w:val="0"/>
        <w:keepLines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ind w:left="720" w:firstLine="360"/>
        <w:rPr/>
      </w:pPr>
      <w:r w:rsidDel="00000000" w:rsidR="00000000" w:rsidRPr="00000000">
        <w:rPr>
          <w:rtl w:val="0"/>
        </w:rPr>
      </w:r>
    </w:p>
    <w:sectPr>
      <w:headerReference r:id="rId11" w:type="default"/>
      <w:pgSz w:h="15840" w:w="12240" w:orient="portrait"/>
      <w:pgMar w:bottom="1440" w:top="144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5443538</wp:posOffset>
              </wp:positionH>
              <wp:positionV relativeFrom="page">
                <wp:posOffset>72708</wp:posOffset>
              </wp:positionV>
              <wp:extent cx="2171065" cy="815334"/>
              <wp:effectExtent b="0" l="0" r="0" t="0"/>
              <wp:wrapNone/>
              <wp:docPr id="3" name=""/>
              <a:graphic>
                <a:graphicData uri="http://schemas.microsoft.com/office/word/2010/wordprocessingShape">
                  <wps:wsp>
                    <wps:cNvSpPr/>
                    <wps:cNvPr id="2" name="Shape 2"/>
                    <wps:spPr>
                      <a:xfrm>
                        <a:off x="4265230" y="3380585"/>
                        <a:ext cx="2161540" cy="798830"/>
                      </a:xfrm>
                      <a:prstGeom prst="rect">
                        <a:avLst/>
                      </a:prstGeom>
                      <a:noFill/>
                      <a:ln>
                        <a:noFill/>
                      </a:ln>
                    </wps:spPr>
                    <wps:txbx>
                      <w:txbxContent>
                        <w:p w:rsidR="00000000" w:rsidDel="00000000" w:rsidP="00000000" w:rsidRDefault="00000000" w:rsidRPr="00000000">
                          <w:pPr>
                            <w:spacing w:after="0" w:before="0" w:line="240"/>
                            <w:ind w:left="20" w:right="0" w:firstLine="-340"/>
                            <w:jc w:val="left"/>
                            <w:textDirection w:val="btLr"/>
                          </w:pPr>
                          <w:r w:rsidDel="00000000" w:rsidR="00000000" w:rsidRPr="00000000">
                            <w:rPr>
                              <w:rFonts w:ascii="Calibri" w:cs="Calibri" w:eastAsia="Calibri" w:hAnsi="Calibri"/>
                              <w:b w:val="0"/>
                              <w:i w:val="0"/>
                              <w:smallCaps w:val="0"/>
                              <w:strike w:val="0"/>
                              <w:color w:val="000000"/>
                              <w:sz w:val="44"/>
                              <w:vertAlign w:val="baseline"/>
                            </w:rPr>
                            <w:t xml:space="preserve">1150 Series</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0" w:before="0" w:line="240"/>
                            <w:ind w:left="20" w:right="0" w:firstLine="-34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2” Heavy Commercial </w:t>
                          </w:r>
                        </w:p>
                        <w:p w:rsidR="00000000" w:rsidDel="00000000" w:rsidP="00000000" w:rsidRDefault="00000000" w:rsidRPr="00000000">
                          <w:pPr>
                            <w:spacing w:after="0" w:before="0" w:line="240"/>
                            <w:ind w:left="20" w:right="0" w:firstLine="-34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Thermally Improved Window</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5443538</wp:posOffset>
              </wp:positionH>
              <wp:positionV relativeFrom="page">
                <wp:posOffset>72708</wp:posOffset>
              </wp:positionV>
              <wp:extent cx="2171065" cy="815334"/>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71065" cy="815334"/>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2"/>
      <w:numFmt w:val="decimal"/>
      <w:lvlText w:val="PART  %1"/>
      <w:lvlJc w:val="left"/>
      <w:pPr>
        <w:ind w:left="576" w:hanging="576"/>
      </w:pPr>
      <w:rPr/>
    </w:lvl>
    <w:lvl w:ilvl="1">
      <w:start w:val="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rcat.com/clickthru.pl?loc=www.wincowindow.com&amp;coid=36570" TargetMode="Externa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zqzQSdQcBzA8lVG6NJ5lU5zw==">AMUW2mUdRPQFzL7/5f2OXrX3esPL6tW4wUKlwYMMH/Gp4nxovyQaFvbaZTXxeCCPsCfcD8Mvnfr/PP+Nzzx52tTvgf+FtGkQCFAbk1TjRFBXh+iUxYdvGkY=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2021-05-13T17:42:00Z</dcterms:created>
  <dc:creator>Cathy Pritchard</dc:creator>
</cp:coreProperties>
</file>